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B70" w:rsidRPr="00D57B70" w:rsidRDefault="00D57B70" w:rsidP="00D57B70">
      <w:pPr>
        <w:spacing w:line="480" w:lineRule="auto"/>
        <w:rPr>
          <w:rFonts w:ascii="Times New Roman" w:hAnsi="Times New Roman" w:cs="Times New Roman"/>
          <w:sz w:val="24"/>
          <w:szCs w:val="24"/>
        </w:rPr>
      </w:pPr>
    </w:p>
    <w:p w:rsidR="00D57B70" w:rsidRPr="00D57B70" w:rsidRDefault="00D57B70" w:rsidP="00D57B70">
      <w:pPr>
        <w:spacing w:line="480" w:lineRule="auto"/>
        <w:rPr>
          <w:rFonts w:ascii="Times New Roman" w:hAnsi="Times New Roman" w:cs="Times New Roman"/>
          <w:sz w:val="24"/>
          <w:szCs w:val="24"/>
        </w:rPr>
      </w:pPr>
    </w:p>
    <w:p w:rsidR="00D57B70" w:rsidRPr="00D57B70" w:rsidRDefault="00D57B70" w:rsidP="00D57B70">
      <w:pPr>
        <w:spacing w:line="480" w:lineRule="auto"/>
        <w:rPr>
          <w:rFonts w:ascii="Times New Roman" w:hAnsi="Times New Roman" w:cs="Times New Roman"/>
          <w:sz w:val="24"/>
          <w:szCs w:val="24"/>
        </w:rPr>
      </w:pPr>
    </w:p>
    <w:p w:rsidR="00D57B70" w:rsidRPr="00D57B70" w:rsidRDefault="00D57B70" w:rsidP="00D57B70">
      <w:pPr>
        <w:spacing w:line="480" w:lineRule="auto"/>
        <w:rPr>
          <w:rFonts w:ascii="Times New Roman" w:hAnsi="Times New Roman" w:cs="Times New Roman"/>
          <w:sz w:val="24"/>
          <w:szCs w:val="24"/>
        </w:rPr>
      </w:pPr>
    </w:p>
    <w:p w:rsidR="00D57B70" w:rsidRPr="00D57B70" w:rsidRDefault="00D57B70" w:rsidP="00D57B70">
      <w:pPr>
        <w:spacing w:line="480" w:lineRule="auto"/>
        <w:rPr>
          <w:rFonts w:ascii="Times New Roman" w:hAnsi="Times New Roman" w:cs="Times New Roman"/>
          <w:sz w:val="24"/>
          <w:szCs w:val="24"/>
        </w:rPr>
      </w:pPr>
    </w:p>
    <w:p w:rsidR="00D57B70" w:rsidRPr="00D57B70" w:rsidRDefault="00D57B70" w:rsidP="00D57B70">
      <w:pPr>
        <w:spacing w:line="480" w:lineRule="auto"/>
        <w:jc w:val="center"/>
        <w:rPr>
          <w:rFonts w:ascii="Times New Roman" w:hAnsi="Times New Roman" w:cs="Times New Roman"/>
          <w:sz w:val="24"/>
          <w:szCs w:val="24"/>
        </w:rPr>
      </w:pPr>
      <w:r w:rsidRPr="00D57B70">
        <w:rPr>
          <w:rFonts w:ascii="Times New Roman" w:hAnsi="Times New Roman" w:cs="Times New Roman"/>
          <w:sz w:val="24"/>
          <w:szCs w:val="24"/>
        </w:rPr>
        <w:t>Disaster Recovery Policy</w:t>
      </w:r>
    </w:p>
    <w:p w:rsidR="00D57B70" w:rsidRPr="00D57B70" w:rsidRDefault="00D57B70" w:rsidP="00D57B70">
      <w:pPr>
        <w:spacing w:line="480" w:lineRule="auto"/>
        <w:jc w:val="center"/>
        <w:rPr>
          <w:rFonts w:ascii="Times New Roman" w:hAnsi="Times New Roman" w:cs="Times New Roman"/>
          <w:sz w:val="24"/>
          <w:szCs w:val="24"/>
        </w:rPr>
      </w:pPr>
      <w:r w:rsidRPr="00D57B70">
        <w:rPr>
          <w:rFonts w:ascii="Times New Roman" w:hAnsi="Times New Roman" w:cs="Times New Roman"/>
          <w:sz w:val="24"/>
          <w:szCs w:val="24"/>
        </w:rPr>
        <w:t>Name of Student</w:t>
      </w:r>
    </w:p>
    <w:p w:rsidR="00D57B70" w:rsidRPr="00D57B70" w:rsidRDefault="00D57B70" w:rsidP="00D57B70">
      <w:pPr>
        <w:spacing w:line="480" w:lineRule="auto"/>
        <w:jc w:val="center"/>
        <w:rPr>
          <w:rFonts w:ascii="Times New Roman" w:hAnsi="Times New Roman" w:cs="Times New Roman"/>
          <w:sz w:val="24"/>
          <w:szCs w:val="24"/>
        </w:rPr>
      </w:pPr>
      <w:r w:rsidRPr="00D57B70">
        <w:rPr>
          <w:rFonts w:ascii="Times New Roman" w:hAnsi="Times New Roman" w:cs="Times New Roman"/>
          <w:sz w:val="24"/>
          <w:szCs w:val="24"/>
        </w:rPr>
        <w:t>Name of Institution</w:t>
      </w:r>
    </w:p>
    <w:p w:rsidR="00D57B70" w:rsidRPr="00D57B70" w:rsidRDefault="00D57B70" w:rsidP="00D57B70">
      <w:pPr>
        <w:spacing w:line="480" w:lineRule="auto"/>
        <w:jc w:val="center"/>
        <w:rPr>
          <w:rFonts w:ascii="Times New Roman" w:hAnsi="Times New Roman" w:cs="Times New Roman"/>
          <w:sz w:val="24"/>
          <w:szCs w:val="24"/>
        </w:rPr>
      </w:pPr>
      <w:r w:rsidRPr="00D57B70">
        <w:rPr>
          <w:rFonts w:ascii="Times New Roman" w:hAnsi="Times New Roman" w:cs="Times New Roman"/>
          <w:sz w:val="24"/>
          <w:szCs w:val="24"/>
        </w:rPr>
        <w:t xml:space="preserve">Date </w:t>
      </w:r>
      <w:r w:rsidRPr="00D57B70">
        <w:rPr>
          <w:rFonts w:ascii="Times New Roman" w:hAnsi="Times New Roman" w:cs="Times New Roman"/>
          <w:sz w:val="24"/>
          <w:szCs w:val="24"/>
        </w:rPr>
        <w:br w:type="page"/>
      </w:r>
    </w:p>
    <w:p w:rsidR="00D57B70" w:rsidRPr="00D57B70" w:rsidRDefault="00D57B70" w:rsidP="00D57B70">
      <w:pPr>
        <w:spacing w:line="480" w:lineRule="auto"/>
        <w:ind w:firstLine="720"/>
        <w:jc w:val="center"/>
        <w:rPr>
          <w:rFonts w:ascii="Times New Roman" w:hAnsi="Times New Roman" w:cs="Times New Roman"/>
          <w:b/>
          <w:sz w:val="24"/>
          <w:szCs w:val="24"/>
        </w:rPr>
      </w:pPr>
      <w:r w:rsidRPr="00D57B70">
        <w:rPr>
          <w:rFonts w:ascii="Times New Roman" w:hAnsi="Times New Roman" w:cs="Times New Roman"/>
          <w:b/>
          <w:sz w:val="24"/>
          <w:szCs w:val="24"/>
        </w:rPr>
        <w:lastRenderedPageBreak/>
        <w:t>Disaster Recovery</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Disasters are incredibly hard to predict, which makes them harder to stop. However, mitigation measures do exist and may prove valuable for any business. The essence of plans to mitigate the negative impacts of disasters stem from the appropriate tools, policies, and procedures directed at the recovery and hasten the continuation of operations. The strategy adopted as an adequate response to disasters takes account of the mitigation interventions, management. Planning and preparedness within an organization and their presence should effectively minimize negative aspects of the catastrophe. The business continuity plans are highly dependent on the disaster management plan. Implementation of the latter in an organization captures the necessity of resuming work quickly and ensures that such events do not interrupt the corporate function of the business.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However, businesses have rarely witnessed catastrophic disasters that have interrupted or brought to a halt the functioning o organizations. Consequentially, management has taken a step back and reduced the significance of a comprehensive disaster management plan, which is extensive and elaborate. Its span covers contingency efforts with clear definitions of aspects. The laxity in management does not reduce the significance of a disaster recovery policy since its influence reaches the incidental losses as a result of the reduction in revenue, the time to restore functions and operations and ensuring continuity of critical business processes. A comprehensive account of the plan for haste resumption of operations should take into consideration; the assessment of risks, provide detailed definitions of alternative strategies for recovery, the implementation plan for quick recovery, and a validation process to assess the recovery.</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lastRenderedPageBreak/>
        <w:t xml:space="preserve">For each business, there are essential operations and installations, whose execution must be constant even in the face of a disaster to ensure continuity in operations. An appropriately drafted disaster recovery policy should take account and preservation considerations and moderate them such that they are adequate necessary for installations and services. Additionally, their span should cover intervention initiatives directed at the quick recovery of systems, programs, and functions. Other than losses emanating from a change in revenue, incidental costs inclusive of assistance from the management and technical departments are unplanned costs that would yield losses. It is, therefore, evident that the presence of the disaster recovery policies is vital for the survival of the business and ensures the resumption of operations hastily following a disaster. </w:t>
      </w:r>
    </w:p>
    <w:p w:rsidR="00D27186" w:rsidRPr="00D57B70" w:rsidRDefault="00D27186" w:rsidP="00D57B70">
      <w:pPr>
        <w:spacing w:line="480" w:lineRule="auto"/>
        <w:ind w:firstLine="720"/>
        <w:jc w:val="center"/>
        <w:rPr>
          <w:rFonts w:ascii="Times New Roman" w:hAnsi="Times New Roman" w:cs="Times New Roman"/>
          <w:b/>
          <w:sz w:val="24"/>
          <w:szCs w:val="24"/>
        </w:rPr>
      </w:pPr>
      <w:r w:rsidRPr="00D57B70">
        <w:rPr>
          <w:rFonts w:ascii="Times New Roman" w:hAnsi="Times New Roman" w:cs="Times New Roman"/>
          <w:b/>
          <w:sz w:val="24"/>
          <w:szCs w:val="24"/>
        </w:rPr>
        <w:t>Role of entrepreneurs</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In the wake of disasters, the physical damage that the context wreaks havoc on multiple channels inclusive of the community's properties and cities. The recovery plans involved, more often than not, include efforts for restoration of the infrastructure and physical damage brought about by the catastrophe. Such policies have a high regard for the city. However, the rehabilitative efforts are neither sufficient nor adequate to cater for the continuation of the communities that fell victim to the impacts (Chamlee-Wright &amp; Storr, 2008). The most identifiable trend with the policies involves a partnership with the public and the private sectors, massive investments, and restoration attempts for the homes, business premises, and infrastructure with high regard for necessity and appropriateness. However, such strategies are not effective in the aid offered towards rallying the community after the disaster. The limitations of such approaches to provide the desired outcomes stem from a lack of understanding about the recovery process.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lastRenderedPageBreak/>
        <w:t xml:space="preserve">Entrepreneurs could be categorized into two. Those who operate within a market setting are economic entrepreneurs, while those working in a non-market environment are social (Chamlee-Wright &amp; Storr, 2008). In aiding the recovery process from a disaster, policymakers must expand and include the roles of both types of entrepreneurs. The social aspect will deal with directly impacting societal change, while the economic perspective will cater for the provision of the necessary goods and services to strengthen the communities. Contributions from the latter also increase participation by others, highlighting the need for motivation in the rebuilding process (Chamlee-Wright &amp; Storr, 2008). Social entrepreneurs affect direct change through the provision of necessary services, and most impactful in solutions common problems and assisting communities to decide when or whether to return.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The study carried out through questionnaires identified two critical measures that influence the participation of entrepreneurs as dictated by the policymakers. The first aspect highlights the necessity to relax the unnecessary regulation such that the creativity of the entrepreneurs can be taken into account. The step provides freedom from constraints that may tend to impede the disaster recovery process and reduces the role of recovery from government support through promoting entrepreneurship (Chamlee-Wright &amp; Storr, 2008). The second aspect permitting the intervention of the entrepreneurs as soon as is practically possible. Given their data survey methods and techniques, the local entrepreneurs are in a prime position to assess the needs of the community, particularly the changes that need to happen after the disaster.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Chamlee-Wright and Storr also include an example of pre-disaster regulation that impeded the recovery actions of entrepreneurs (2008). In this context, the rules involved building codes and zoning restrictions that hindered the opening of a health clinic in New Orleans after Hurricane Katrina, which would have proved vital after the disaster. The authors also include an </w:t>
      </w:r>
      <w:r w:rsidRPr="00D57B70">
        <w:rPr>
          <w:rFonts w:ascii="Times New Roman" w:hAnsi="Times New Roman" w:cs="Times New Roman"/>
          <w:sz w:val="24"/>
          <w:szCs w:val="24"/>
        </w:rPr>
        <w:lastRenderedPageBreak/>
        <w:t xml:space="preserve">incident of economic entrepreneurship that proved essential in facilitating the sense of neighborhood in the Ninth Ward, New Orleans before and after Hurricane Katrina. Mr. Kasim invested in the most impoverished community within the state, which brought about close relationships and acquaintances with the local community. After the hurricane, the investor was quick in recovery efforts by opening up another smaller stall in a different location (Chamlee-Wright &amp; Storr, 2008). Consequentially, the act influenced other investors not to move their business elsewhere and aided the community in deciding whether to return to the same residence. </w:t>
      </w:r>
    </w:p>
    <w:p w:rsidR="00D27186" w:rsidRPr="00D57B70" w:rsidRDefault="00D27186" w:rsidP="00D57B70">
      <w:pPr>
        <w:spacing w:line="480" w:lineRule="auto"/>
        <w:ind w:firstLine="720"/>
        <w:jc w:val="center"/>
        <w:rPr>
          <w:rFonts w:ascii="Times New Roman" w:hAnsi="Times New Roman" w:cs="Times New Roman"/>
          <w:b/>
          <w:sz w:val="24"/>
          <w:szCs w:val="24"/>
        </w:rPr>
      </w:pPr>
      <w:r w:rsidRPr="00D57B70">
        <w:rPr>
          <w:rFonts w:ascii="Times New Roman" w:hAnsi="Times New Roman" w:cs="Times New Roman"/>
          <w:b/>
          <w:sz w:val="24"/>
          <w:szCs w:val="24"/>
        </w:rPr>
        <w:t>A variety of partnership ideas</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James K. Mitchell, in the article 'The primacy of partnership,' is intent at scoping the need for a new national disaster recovery policy (Mitchell, 2006). The article accounts for major disasters following the September 11 attacks, up to and including Hurricane Katrina. The author assesses the influence of previous forms of partnerships in common material interests. With such an assessment, the article tries to expound on the need for strategic partnerships during and after the occurrence of a disaster. The author argues that the context of partnership is a growing body of significance for disaster recovery efforts in the United States and elsewhere. Mitchell's assessment highlights that the disasters to mitigate may include the new vulnerable points as a result of globalization, the resurfacing of old risk, new threats and ones that are only present in our imaginations.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Stemming from a recent increase in the occurrence of disasters, each agenda should incorporate and increased attention of hazard policies with more magnitude and permanence. The current structure for most practices is ineffective. The strategy involved includes drawing on public anxieties to create powerful public institutions intended to specialize on the mitigation of </w:t>
      </w:r>
      <w:r w:rsidRPr="00D57B70">
        <w:rPr>
          <w:rFonts w:ascii="Times New Roman" w:hAnsi="Times New Roman" w:cs="Times New Roman"/>
          <w:sz w:val="24"/>
          <w:szCs w:val="24"/>
        </w:rPr>
        <w:lastRenderedPageBreak/>
        <w:t xml:space="preserve">specific risks. The response segregates engagement of other parties, and offers a solution which is not practical to maintain indefinitely. There is a need for alternative coping mechanisms available to humans. Drawing from the cumulative data about disaster recovery, there is a variety of different combinations of tactics that can be adopted to mitigate disasters (Mitchell, 2006). The current era faces new threats driven by human actions, but takes some time to mature and hence grants us time to assess and acquire more information about them. Combined with the growing war on terror, there is a need for ensuring that disaster management approaches are rich and variable to extend and cover even the neglected risks.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The issues bring up the topic of increase the participation of more parties into the recovery process and widening the limit of available strategies. Increase in participation benefits the recovery programs through capitalizing on collective action through partnerships. The context will link contradictory ideas and ideals, and optimize human interests (Mitchell, 2006). There is need for a scientific body of knowledge for the foundation of programs accounting for societal relationships of communities with the environment. The current narrow alternatives are not as extensive to transcend the ambiguities and reduce the uncertainties. Mitchell addresses the context of partnership through four principles (Mitchell, 2006);</w:t>
      </w:r>
    </w:p>
    <w:p w:rsidR="00D27186" w:rsidRPr="00D57B70" w:rsidRDefault="00D27186" w:rsidP="00D57B70">
      <w:pPr>
        <w:pStyle w:val="ListParagraph"/>
        <w:numPr>
          <w:ilvl w:val="0"/>
          <w:numId w:val="3"/>
        </w:numPr>
        <w:spacing w:line="480" w:lineRule="auto"/>
        <w:rPr>
          <w:rFonts w:ascii="Times New Roman" w:hAnsi="Times New Roman" w:cs="Times New Roman"/>
          <w:sz w:val="24"/>
          <w:szCs w:val="24"/>
        </w:rPr>
      </w:pPr>
      <w:r w:rsidRPr="00D57B70">
        <w:rPr>
          <w:rFonts w:ascii="Times New Roman" w:hAnsi="Times New Roman" w:cs="Times New Roman"/>
          <w:sz w:val="24"/>
          <w:szCs w:val="24"/>
        </w:rPr>
        <w:t>Coordinating community recovery with important projects on the national policy agenda</w:t>
      </w:r>
    </w:p>
    <w:p w:rsidR="00D27186" w:rsidRPr="00D57B70" w:rsidRDefault="00D27186" w:rsidP="00D57B70">
      <w:pPr>
        <w:pStyle w:val="ListParagraph"/>
        <w:numPr>
          <w:ilvl w:val="0"/>
          <w:numId w:val="3"/>
        </w:numPr>
        <w:spacing w:line="480" w:lineRule="auto"/>
        <w:rPr>
          <w:rFonts w:ascii="Times New Roman" w:hAnsi="Times New Roman" w:cs="Times New Roman"/>
          <w:sz w:val="24"/>
          <w:szCs w:val="24"/>
        </w:rPr>
      </w:pPr>
      <w:r w:rsidRPr="00D57B70">
        <w:rPr>
          <w:rFonts w:ascii="Times New Roman" w:hAnsi="Times New Roman" w:cs="Times New Roman"/>
          <w:sz w:val="24"/>
          <w:szCs w:val="24"/>
        </w:rPr>
        <w:t>Building contingency management for environmental hazards into sustainable development strategies</w:t>
      </w:r>
    </w:p>
    <w:p w:rsidR="00D27186" w:rsidRPr="00D57B70" w:rsidRDefault="00D27186" w:rsidP="00D57B70">
      <w:pPr>
        <w:pStyle w:val="ListParagraph"/>
        <w:numPr>
          <w:ilvl w:val="0"/>
          <w:numId w:val="3"/>
        </w:numPr>
        <w:spacing w:line="480" w:lineRule="auto"/>
        <w:rPr>
          <w:rFonts w:ascii="Times New Roman" w:hAnsi="Times New Roman" w:cs="Times New Roman"/>
          <w:sz w:val="24"/>
          <w:szCs w:val="24"/>
        </w:rPr>
      </w:pPr>
      <w:r w:rsidRPr="00D57B70">
        <w:rPr>
          <w:rFonts w:ascii="Times New Roman" w:hAnsi="Times New Roman" w:cs="Times New Roman"/>
          <w:sz w:val="24"/>
          <w:szCs w:val="24"/>
        </w:rPr>
        <w:t xml:space="preserve">Expanding the number and variety of community functions served by recovery programs, and </w:t>
      </w:r>
    </w:p>
    <w:p w:rsidR="00D27186" w:rsidRPr="00D57B70" w:rsidRDefault="00D27186" w:rsidP="00D57B70">
      <w:pPr>
        <w:pStyle w:val="ListParagraph"/>
        <w:numPr>
          <w:ilvl w:val="0"/>
          <w:numId w:val="3"/>
        </w:numPr>
        <w:spacing w:line="480" w:lineRule="auto"/>
        <w:rPr>
          <w:rFonts w:ascii="Times New Roman" w:hAnsi="Times New Roman" w:cs="Times New Roman"/>
          <w:sz w:val="24"/>
          <w:szCs w:val="24"/>
        </w:rPr>
      </w:pPr>
      <w:r w:rsidRPr="00D57B70">
        <w:rPr>
          <w:rFonts w:ascii="Times New Roman" w:hAnsi="Times New Roman" w:cs="Times New Roman"/>
          <w:sz w:val="24"/>
          <w:szCs w:val="24"/>
        </w:rPr>
        <w:lastRenderedPageBreak/>
        <w:t>Incorporating groups that hold different (and at times contradictory) interpretations of hazards that transcend the rubric of hazard as a public policy problem</w:t>
      </w:r>
    </w:p>
    <w:p w:rsidR="00D27186" w:rsidRPr="00D57B70" w:rsidRDefault="00D27186" w:rsidP="00D57B70">
      <w:pPr>
        <w:spacing w:line="480" w:lineRule="auto"/>
        <w:ind w:firstLine="720"/>
        <w:jc w:val="center"/>
        <w:rPr>
          <w:rFonts w:ascii="Times New Roman" w:hAnsi="Times New Roman" w:cs="Times New Roman"/>
          <w:b/>
          <w:sz w:val="24"/>
          <w:szCs w:val="24"/>
        </w:rPr>
      </w:pPr>
      <w:r w:rsidRPr="00D57B70">
        <w:rPr>
          <w:rFonts w:ascii="Times New Roman" w:hAnsi="Times New Roman" w:cs="Times New Roman"/>
          <w:b/>
          <w:sz w:val="24"/>
          <w:szCs w:val="24"/>
        </w:rPr>
        <w:t>Principles of Sustainability</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The principle of sustainability is applicable model that could prove useful in the improving the current strategies implemented during disaster recovery. The concept of sustainability is highly elusive, and may be a reason why most practitioners unknowingly enforce policies that systematically hinders it. Previous records indicate a foundation of work whose influence is targeted at sustainability, but their theoretical framework needs to be merged to increase meaning and operationality. There is need for a coalition of advocates who perceive the need of altering the status quo. Similar to the structure adopted that followed in the Disaster Management Act of 2000; there is need for modified research agenda intent at advancing the mitigation policies. There are five crucial considerations for growing the recovery framework.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The first step takes a keen and broad look at the recovery planning adopted through various policies nation-wide. The assessment should cater for natural and man-made hazards. The former has a larger body of information since it has been the focus of disaster recovery studies. The results should provide a series of recommended actions that are specific for each threat. The second action should incorporate the lessons learned from the Disaster Management Act of 2000 (Smith &amp; Wenger, 2007). The current structure is detailed within the Act and encompasses a number of political realities. The act includes applicable requirements in recovery efforts, the time takes for the act provides a relative timeline by which to expect identifiable outcomes, and provides an understanding of the political and historical underpinnings behind that act. All that information is vital in improvement of the existing implementation framework.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lastRenderedPageBreak/>
        <w:t xml:space="preserve">The third step requires making use of the information obtained to build an advocacy coalition that supports passing of a new disaster recovery act. The implementation of an improved framework could take some time, and there is need for advocates with a shared set of beliefs and intent of modification of the current system (Smith &amp; Wenger, 2007). The advocates will require a body of knowledge taken from the research and push for policy change following the increased tendency of hazards. Any change must also account for prevailing organizational and political conditions. Policy change initiative will require an understanding of pre-and post-recovery assistance for natural and human-caused disasters (Smith &amp; Wenger, 2007). The fourth step requires an evaluation of alternative policy options. An improved disaster recovery act is best when it has clear guiding principles and presented as a disjointed array of programs targeted at recovery (Smith &amp; Wenger, 2007). The most significant theme should increase the need for self-reliance rather than the current status of over-depending on federal aid. The alternative options to be included should be assessed on such criteria.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The last step requires the creation of a sustainable recovery ethic throughout the country. For successful adoption of a policy change through advocacy, there is need for increased awareness, education, training, and more research (Smith &amp; Wenger, 2007). The strategy should also include a cadre of advocates whose mandate will be to maintain such efforts over time. Implementation should follow and abide by the state and local policies, or effectively alter them to meet their objectives. </w:t>
      </w:r>
    </w:p>
    <w:p w:rsidR="00D27186" w:rsidRPr="00D57B70" w:rsidRDefault="00D27186" w:rsidP="00D57B70">
      <w:pPr>
        <w:spacing w:line="480" w:lineRule="auto"/>
        <w:ind w:firstLine="720"/>
        <w:jc w:val="center"/>
        <w:rPr>
          <w:rFonts w:ascii="Times New Roman" w:hAnsi="Times New Roman" w:cs="Times New Roman"/>
          <w:b/>
          <w:sz w:val="24"/>
          <w:szCs w:val="24"/>
        </w:rPr>
      </w:pPr>
      <w:r w:rsidRPr="00D57B70">
        <w:rPr>
          <w:rFonts w:ascii="Times New Roman" w:hAnsi="Times New Roman" w:cs="Times New Roman"/>
          <w:b/>
          <w:sz w:val="24"/>
          <w:szCs w:val="24"/>
        </w:rPr>
        <w:t>Risk Management and Recovery plans</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For all the personnel involved in coming up with disaster management strategies, it is important to take consideration of the components of the business, all the critical process within </w:t>
      </w:r>
      <w:r w:rsidRPr="00D57B70">
        <w:rPr>
          <w:rFonts w:ascii="Times New Roman" w:hAnsi="Times New Roman" w:cs="Times New Roman"/>
          <w:sz w:val="24"/>
          <w:szCs w:val="24"/>
        </w:rPr>
        <w:lastRenderedPageBreak/>
        <w:t xml:space="preserve">the organization, vulnerabilities, and common threats that may end up in hazards for the company. Risk can align with a variety of definitions, all emerging from the context for which one applies the term and the role the individual plays (Fallara, 2004). One instrumental definition involves the evaluation of the propensity of a threat while capitalizing on the vulnerabilities, weakness and their resulting consequences. Following an initial assessment of hazards, risk management and recovery planning both happen in parallel. A survey from 2003 found that most companies had understood the essence of planning for potential disasters. Their planning included recruitment of information technology professionals for the installation or planned installation of a disaster recovery plan. The designed recovery plan should take note of the potential impacts following the events of the disaster, and aim towards returning the business to optimal functioning within the shortest duration of time possible.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One aspect that most companies tend not to assess critically and unbiased during the evaluation of hazards is their internal resilience. The mitigation plan requires a careful assessment and consideration of probable occurrence of risks and their resulting consequences. However, exact measurements are impossible to come up with, and hence proper evaluation will encompass close estimations with considerable margin for error within their calculations (Fallara, 2004). The disaster plan should not aim at the elimination of all risk since the context is not only impractical, but also systematically impossible and cost ineffective. Attention should thus follow recovery option after the occurrence of high impact risks with detailed higher chances of happening. One critical consideration while accounting for cost is making sure that the mitigation costs should never exceed the potential losses they are designed against. It is essential to include every person in the organization into the disaster recovery plan, ranging from </w:t>
      </w:r>
      <w:r w:rsidRPr="00D57B70">
        <w:rPr>
          <w:rFonts w:ascii="Times New Roman" w:hAnsi="Times New Roman" w:cs="Times New Roman"/>
          <w:sz w:val="24"/>
          <w:szCs w:val="24"/>
        </w:rPr>
        <w:lastRenderedPageBreak/>
        <w:t xml:space="preserve">the casual personnel to the management and board. Their involvement and support is critical towards the success and survival of a company (Fallara, 2004).  </w:t>
      </w:r>
    </w:p>
    <w:p w:rsidR="00D27186" w:rsidRPr="00D57B70" w:rsidRDefault="00D27186" w:rsidP="00D57B70">
      <w:pPr>
        <w:spacing w:line="480" w:lineRule="auto"/>
        <w:ind w:firstLine="720"/>
        <w:jc w:val="center"/>
        <w:rPr>
          <w:rFonts w:ascii="Times New Roman" w:hAnsi="Times New Roman" w:cs="Times New Roman"/>
          <w:b/>
          <w:sz w:val="24"/>
          <w:szCs w:val="24"/>
        </w:rPr>
      </w:pPr>
      <w:r w:rsidRPr="00D57B70">
        <w:rPr>
          <w:rFonts w:ascii="Times New Roman" w:hAnsi="Times New Roman" w:cs="Times New Roman"/>
          <w:b/>
          <w:sz w:val="24"/>
          <w:szCs w:val="24"/>
        </w:rPr>
        <w:t>Injustice and Social Imbalance in disaster management</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Loretta Pyles follows through evaluation of disaster recovery attempts after the events of Hurricane Katrina through an international non-governmental association. The intention is promote understanding of how practices encouraged recovery efforts. The author finds a failure in instigating participation from the neighborhood. Pyles ascertains authentic engagement would have promoted empowerment, sustainability and transformation of the communities involved (Pyles, 2011). The input of aid organization place significance on a swift response towards the emergency situation, with an established necessity for quick actions. The hastiness is a prevalent topic, and there are limits that prove the notion that there is not adequate time right (Pyles, 2011). However, the notion is also a susceptible trait that promotes neoliberalism into new markets, and their intentions facilitate a working culture of results-driven efficiency. Such development cancels out the need for time which later consequentially affects topics about racism, and anti-racists practices. There was also a notable discourse that resulted in distortion in participation which proved as an impediment to the sustainable recovery, and perpetuated injustice inclusive of racism.</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The development of leadership and democratic engagement are principle which fosters the sustainability approach during recovery efforts. Additionally, the principle also proves to be compatible with the transformative approach which is influential in community organization that promotes social change. It is, therefore, crucial to engage indigenous communities in partnerships towards recovery efforts and their exclusion as shown in the case of Hurricane </w:t>
      </w:r>
      <w:r w:rsidRPr="00D57B70">
        <w:rPr>
          <w:rFonts w:ascii="Times New Roman" w:hAnsi="Times New Roman" w:cs="Times New Roman"/>
          <w:sz w:val="24"/>
          <w:szCs w:val="24"/>
        </w:rPr>
        <w:lastRenderedPageBreak/>
        <w:t xml:space="preserve">Katrina is counter-productive (Pyles, 2011). The transformative approach also facilitates anti-oppressive measure which strive for transparency and accountability though confrontation with the social hegemonies. Four typologies prove critical in any approach for participatory engagement (Pyles, 2011); nominal typology is an illustration that they are doing something, instrumental approach targets at making the projects cost-effective, representative strives towards limiting the creation of dependency, and transformative which ensures that the people have the freedom to make decisions on their own. However, though it seems that participation is a form of inclusion (Pyles, 2011), such strategies might prove impactful in deepening the exclusion of specified groups of people. Inclusion requires investment in time and persistence, and it's not as easy as convening a workshop.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There are also resistance strategies that prove influential towards such INGO practices of neoliberalism, geared towards authentic engagement of neighborhoods. The events of Katrina also demonstrated such micro-resistance strategies which proved ineffective and perceived by many as lack of interest. Some of the reasons such resistance were not effective include; a majority of the leaders were dealing with personalized losses, critical funding from the INGO that promoted the neighborhood work, a long history of accepting NGO involvement and research of the poor community, increased behind the scenes action for the Collaborative (Pyles, 2011), and an undermined communal political power of marginalized communities stemming from neoliberal authority and compliance. Pyles, therefore, ascertains the need for attending to the issue of neoliberalism in post-disaster contexts and recommends the transformative approach as a candid solution.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Pyles indicates a necessity for disaster management to cultivate development and recovery practices that ensures they meet the real needs of the community members, accepts </w:t>
      </w:r>
      <w:r w:rsidRPr="00D57B70">
        <w:rPr>
          <w:rFonts w:ascii="Times New Roman" w:hAnsi="Times New Roman" w:cs="Times New Roman"/>
          <w:sz w:val="24"/>
          <w:szCs w:val="24"/>
        </w:rPr>
        <w:lastRenderedPageBreak/>
        <w:t xml:space="preserve">cultural diversity ad does not overlook the values of such societies. Within the state of New Orleans, the vulnerability and weaknesses in the state leaves the citizens open to disaster capitalism and predatory globalization, which is similar for most states and countries (Pyles, 2011). One facilitating factor for the neoliberal expansion is the emphasis on the linear outcomes by the non-profit organizations which praise high performance, and overlook community building practices and the group processes involved. Pyles concludes by ascertaining the need for inherent value of process towards sustainability, participation and empowerment (Pyles, 2011). Humanitarian aid should structure their practices such that their principle prerogatives include community building, confrontation of power, mobilization of affected constituents, and building relationships. However, the most influential aspect and consideration should ensure a structure and practices such that the INGO ensures they do not create a permanent presence. </w:t>
      </w:r>
    </w:p>
    <w:p w:rsidR="00D27186" w:rsidRPr="00D57B70" w:rsidRDefault="00D27186" w:rsidP="00D57B70">
      <w:pPr>
        <w:spacing w:line="480" w:lineRule="auto"/>
        <w:ind w:firstLine="720"/>
        <w:jc w:val="center"/>
        <w:rPr>
          <w:rFonts w:ascii="Times New Roman" w:hAnsi="Times New Roman" w:cs="Times New Roman"/>
          <w:b/>
          <w:sz w:val="24"/>
          <w:szCs w:val="24"/>
        </w:rPr>
      </w:pPr>
      <w:r w:rsidRPr="00D57B70">
        <w:rPr>
          <w:rFonts w:ascii="Times New Roman" w:hAnsi="Times New Roman" w:cs="Times New Roman"/>
          <w:b/>
          <w:sz w:val="24"/>
          <w:szCs w:val="24"/>
        </w:rPr>
        <w:t>Disaster mitigation model</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Disasters and hazards are increasing in prominence for both natural and human-caused events. The increased tendency of the events results in an increase in significance of disaster management program intended at protecting organizations from the consequential impacts of the hazards and disasters. The difficulty in predicting the extent, timing and nature of the events and their impacts of business operations have only served to raise the attention brought to the disaster management policies. Sahebjamnia, Torabu, and Mansouri developed a framework for decision support to cater for the mitigation of such occurrences (2015), and implemented it in a case study. An appropriate model, according to the article, is keen on their evaluations and addressing of problems in the operational, tactical, and strategic levels of the business. The critical consideration for their research highlights a new conceptual framework for integrated business continuity and disaster recovery planning, formulation of a novel allocation model for the </w:t>
      </w:r>
      <w:r w:rsidRPr="00D57B70">
        <w:rPr>
          <w:rFonts w:ascii="Times New Roman" w:hAnsi="Times New Roman" w:cs="Times New Roman"/>
          <w:sz w:val="24"/>
          <w:szCs w:val="24"/>
        </w:rPr>
        <w:lastRenderedPageBreak/>
        <w:t>framework, development of a novel interactive augmented Ɛ-constraint method, and validation of the model proposal and solution technique via a real case study (Sahebjamnia, Torabi, &amp; Mansouri, 2015).</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The framework as proposed inculcated a mathematical model whose function was the determination of resources necessary to cope with the events of the disaster. The framework was constituted of business continuity and disaster recovery plans whose structure demonstrated the resilience of organization and facilitated effective and efficient response (Sahebjamnia, Torabi, &amp; Mansouri, 2015). The presence of such mitigative measures proved critical in the restorative and resumption of critical business functions after disruptive events, and ensured a fast paced recovery process with minimal expenditure of budget and resources in the case study f a gear box manufacturer. The research is also a vital component of future research. It can serve as the foundation by which to base contingency measures for resilient organizations in the face of multiple concurrent disruptive occurrences. The usefulness and capability of the resilient measures can be illustrated through quantitative research. Additional parameters could cater for considerations in uncertainty programming, possibility programming and stochastic programming techniques. </w:t>
      </w:r>
    </w:p>
    <w:p w:rsidR="00D27186" w:rsidRPr="00D57B70" w:rsidRDefault="00D27186" w:rsidP="00D57B70">
      <w:pPr>
        <w:spacing w:line="480" w:lineRule="auto"/>
        <w:ind w:firstLine="720"/>
        <w:jc w:val="center"/>
        <w:rPr>
          <w:rFonts w:ascii="Times New Roman" w:hAnsi="Times New Roman" w:cs="Times New Roman"/>
          <w:b/>
          <w:sz w:val="24"/>
          <w:szCs w:val="24"/>
        </w:rPr>
      </w:pPr>
      <w:r w:rsidRPr="00D57B70">
        <w:rPr>
          <w:rFonts w:ascii="Times New Roman" w:hAnsi="Times New Roman" w:cs="Times New Roman"/>
          <w:b/>
          <w:sz w:val="24"/>
          <w:szCs w:val="24"/>
        </w:rPr>
        <w:t>Adaptive planning model</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Logically, the first step to take on the face of disruptive events should take account of the redevelopment of the community. The concept should be inculcated within the pre-disaster plan as an initiative to promote resiliency. However, according to a case study by Berke and team for eighteen states, eight of them showed no significance paid to the planning of disaster recovery efforts. The minimal criteria for inclusion was met by only a third of the local jurisdictions , and </w:t>
      </w:r>
      <w:r w:rsidRPr="00D57B70">
        <w:rPr>
          <w:rFonts w:ascii="Times New Roman" w:hAnsi="Times New Roman" w:cs="Times New Roman"/>
          <w:sz w:val="24"/>
          <w:szCs w:val="24"/>
        </w:rPr>
        <w:lastRenderedPageBreak/>
        <w:t xml:space="preserve">the entire study demonstrated a lack of support for such initiatives as indicated by low scores in terms of quality (Berke, Cooper, Aminto, Grabich, &amp; Horney, 2015). The most advanced state in recovery plans also demonstrated weak mandate and low oversight resulting in minimal levels of compliance. The low quality of the plans and resiliency of the states illustrates that the local jurisdictions lack the capability and ability to anticipate and also to adapt to the disruptive events, and consequentially limit their capacity to rebuild. Berke and team also indicate the new models appropriate for the making and institution of recovery plans, all of which jurisdictions are yet to incorporate (Berke, Cooper, Aminto, Grabich, &amp; Horney, 2015).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Federal mandates improve the rate of adoption and consequentially lead to higher quality in the policies adopted. However, local jurisdictions have the freedom to motivate change through alternative planning methods.  The freedom is only beneficial to jurisdictions that enforce strong and funded mandates, with a primal essence on voluntary rather than forced incorporation. For local jurisdiction, public support also proved crucial in adoption of plans and policies. Failure of the aspect required assessment of the stakeholders involved and the role of the agency in planning (Berke, Cooper, Aminto, Grabich, &amp; Horney, 2015). Significant stakeholder contributions required a collaborative network, influenced by resources, effort and time. They should also work with care for the locality and initiatives should tend towards reordering local priorities. After forging a commitment directed towards recovery, the immediate chronological step should incorporate the concept into an already established comprehensive plan (Berke, Cooper, Aminto, Grabich, &amp; Horney, 2015). The action is influential in the restructuring of policies and goals, and their incorporation into the jurisdiction's objectives. Additionally, such planning prerogatives should address critical gaps within the urban rebuilding and community disaster resiliency. Case studies are necessary to provide a framework for </w:t>
      </w:r>
      <w:r w:rsidRPr="00D57B70">
        <w:rPr>
          <w:rFonts w:ascii="Times New Roman" w:hAnsi="Times New Roman" w:cs="Times New Roman"/>
          <w:sz w:val="24"/>
          <w:szCs w:val="24"/>
        </w:rPr>
        <w:lastRenderedPageBreak/>
        <w:t xml:space="preserve">efficiency in outcomes on natural, social, and built environment post-disaster outcomes. Additional research could evaluate pre- and post-recovery plans to ascertain the role of collaborative networks. </w:t>
      </w:r>
    </w:p>
    <w:p w:rsidR="00D27186" w:rsidRPr="00D57B70" w:rsidRDefault="00D27186" w:rsidP="00D57B70">
      <w:pPr>
        <w:spacing w:line="480" w:lineRule="auto"/>
        <w:ind w:firstLine="720"/>
        <w:jc w:val="center"/>
        <w:rPr>
          <w:rFonts w:ascii="Times New Roman" w:hAnsi="Times New Roman" w:cs="Times New Roman"/>
          <w:b/>
          <w:sz w:val="24"/>
          <w:szCs w:val="24"/>
        </w:rPr>
      </w:pPr>
      <w:r w:rsidRPr="00D57B70">
        <w:rPr>
          <w:rFonts w:ascii="Times New Roman" w:hAnsi="Times New Roman" w:cs="Times New Roman"/>
          <w:b/>
          <w:sz w:val="24"/>
          <w:szCs w:val="24"/>
        </w:rPr>
        <w:t>Role of technology and automated systems</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In the context of technological systems, the concept of disaster recovery is more expansive that backup processing or offline storage. It is critical for organizations to develops comprehensive disaster plans that are adequately expansive to cater for all critical functions and operations of the business. The plans must include detailed procedures that have been the subject of case studies and tests (Raju &amp; Van Niekerk, 2013). The objective of such protocols should be geared towards ensuring that the critical resources are available after the probable occurrence of a disruptive event and also promote continuity of operations. It is conclusive that the existence of hazards and disasters is highly uncertain. However, similarly to liability insurance, such disaster plans are crucial in the provision of a considerable measure of comfort ascertaining the safety from financial disasters in the face of disruptive events (Raju &amp; Van Niekerk, 2013). The plans are more significant than insurance since the latter does not have coverage for the incalculable losses incurred during the interruption, or the worst-case scenario where such events lead to the closure of the business. </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There are several additional reasoning behind the development of disaster recovery plans other than mitigating and minimizing the extent of economic loss (Raju &amp; Van Niekerk, 2013). Technological planning before events also lessens the probability of exposure, while reducing the likelihood of occurrence for human-caused events. The policies and plans are also critical in ensuring the organization remains stable, and consequentially reduces the insurance premiums. </w:t>
      </w:r>
      <w:r w:rsidRPr="00D57B70">
        <w:rPr>
          <w:rFonts w:ascii="Times New Roman" w:hAnsi="Times New Roman" w:cs="Times New Roman"/>
          <w:sz w:val="24"/>
          <w:szCs w:val="24"/>
        </w:rPr>
        <w:lastRenderedPageBreak/>
        <w:t xml:space="preserve">Lack of planning would facilitate over-reliance on specific key individuals, which is a significant reason behind a disorderly recovery process. The context of disaster recovery planning also minimizes the legal liability of the organization, reduces the opportunities for decision making in the face of the event in favor of pre-structured programs, protects the assets, and ensures the safety of the personnel and the customers.  </w:t>
      </w:r>
    </w:p>
    <w:p w:rsidR="00D27186" w:rsidRPr="00D57B70" w:rsidRDefault="00D27186" w:rsidP="00D57B70">
      <w:pPr>
        <w:spacing w:line="480" w:lineRule="auto"/>
        <w:ind w:firstLine="720"/>
        <w:jc w:val="center"/>
        <w:rPr>
          <w:rFonts w:ascii="Times New Roman" w:hAnsi="Times New Roman" w:cs="Times New Roman"/>
          <w:b/>
          <w:sz w:val="24"/>
          <w:szCs w:val="24"/>
        </w:rPr>
      </w:pPr>
      <w:r w:rsidRPr="00D57B70">
        <w:rPr>
          <w:rFonts w:ascii="Times New Roman" w:hAnsi="Times New Roman" w:cs="Times New Roman"/>
          <w:b/>
          <w:sz w:val="24"/>
          <w:szCs w:val="24"/>
        </w:rPr>
        <w:t>The influence of the government</w:t>
      </w:r>
    </w:p>
    <w:p w:rsidR="00D27186" w:rsidRPr="00D57B70" w:rsidRDefault="00D27186" w:rsidP="00D57B70">
      <w:pPr>
        <w:spacing w:line="480" w:lineRule="auto"/>
        <w:ind w:firstLine="720"/>
        <w:rPr>
          <w:rFonts w:ascii="Times New Roman" w:hAnsi="Times New Roman" w:cs="Times New Roman"/>
          <w:sz w:val="24"/>
          <w:szCs w:val="24"/>
        </w:rPr>
      </w:pPr>
      <w:r w:rsidRPr="00D57B70">
        <w:rPr>
          <w:rFonts w:ascii="Times New Roman" w:hAnsi="Times New Roman" w:cs="Times New Roman"/>
          <w:sz w:val="24"/>
          <w:szCs w:val="24"/>
        </w:rPr>
        <w:t xml:space="preserve">The cooperation and coordination of departments of the government in recovery efforts raises several challenges, particularly for sustainable recovery. The process involved is made more complex through analysis of the political will to influence coordinated, sustainable recovery, lack of capabilities by the government, use of the expertise of the civil society, the design of the recovery programs, and funding. The study by Wold took considerations from a single case but illustrated an ever-growing prominence of disaster response (Wold, 2006). However, Wold also showed the increased tendency of the government department to function as isolated elements. The article specifies that collaborative efforts could prove productive in the mitigation and achieving sustainable disaster recovery plans. The structure of government agencies should also teach a common desired objective for a number of the departments involved. It should also incorporate a structure whereby such activities align across agencies to further facilitate cooperation. </w:t>
      </w:r>
    </w:p>
    <w:p w:rsidR="00D27186" w:rsidRPr="00D57B70" w:rsidRDefault="00D27186" w:rsidP="00D57B70">
      <w:pPr>
        <w:spacing w:line="480" w:lineRule="auto"/>
        <w:rPr>
          <w:rFonts w:ascii="Times New Roman" w:hAnsi="Times New Roman" w:cs="Times New Roman"/>
          <w:sz w:val="24"/>
          <w:szCs w:val="24"/>
        </w:rPr>
      </w:pPr>
      <w:r w:rsidRPr="00D57B70">
        <w:rPr>
          <w:rFonts w:ascii="Times New Roman" w:hAnsi="Times New Roman" w:cs="Times New Roman"/>
          <w:sz w:val="24"/>
          <w:szCs w:val="24"/>
        </w:rPr>
        <w:br w:type="page"/>
      </w:r>
    </w:p>
    <w:p w:rsidR="00D27186" w:rsidRPr="00D57B70" w:rsidRDefault="00D27186" w:rsidP="00D57B70">
      <w:pPr>
        <w:spacing w:line="480" w:lineRule="auto"/>
        <w:jc w:val="center"/>
        <w:rPr>
          <w:rFonts w:ascii="Times New Roman" w:hAnsi="Times New Roman" w:cs="Times New Roman"/>
          <w:sz w:val="24"/>
          <w:szCs w:val="24"/>
        </w:rPr>
      </w:pPr>
      <w:r w:rsidRPr="00D57B70">
        <w:rPr>
          <w:rFonts w:ascii="Times New Roman" w:hAnsi="Times New Roman" w:cs="Times New Roman"/>
          <w:sz w:val="24"/>
          <w:szCs w:val="24"/>
        </w:rPr>
        <w:lastRenderedPageBreak/>
        <w:t>References</w:t>
      </w:r>
    </w:p>
    <w:p w:rsidR="00D27186" w:rsidRPr="00D57B70" w:rsidRDefault="00D27186" w:rsidP="00D57B70">
      <w:pPr>
        <w:spacing w:line="480" w:lineRule="auto"/>
        <w:ind w:left="720" w:hanging="720"/>
        <w:rPr>
          <w:rFonts w:ascii="Times New Roman" w:hAnsi="Times New Roman" w:cs="Times New Roman"/>
          <w:sz w:val="24"/>
          <w:szCs w:val="24"/>
        </w:rPr>
      </w:pPr>
      <w:r w:rsidRPr="00D57B70">
        <w:rPr>
          <w:rFonts w:ascii="Times New Roman" w:hAnsi="Times New Roman" w:cs="Times New Roman"/>
          <w:sz w:val="24"/>
          <w:szCs w:val="24"/>
        </w:rPr>
        <w:t>Berke, P., Cooper, J., Aminto, M., Grabich, S., &amp;amp; Horney, J. (2014). Adaptive planning for disaster recovery and resiliency: An evaluation of 87 local recovery plans in eight states. Journal of the American Planning Association, 80(4), 310-323. Retrieved from https://www.tandfonline.com/doi/abs/10.1080/01944363.2014.976585</w:t>
      </w:r>
    </w:p>
    <w:p w:rsidR="00D27186" w:rsidRPr="00D57B70" w:rsidRDefault="00D27186" w:rsidP="00D57B70">
      <w:pPr>
        <w:spacing w:line="480" w:lineRule="auto"/>
        <w:ind w:left="720" w:hanging="720"/>
        <w:rPr>
          <w:rFonts w:ascii="Times New Roman" w:hAnsi="Times New Roman" w:cs="Times New Roman"/>
          <w:sz w:val="24"/>
          <w:szCs w:val="24"/>
        </w:rPr>
      </w:pPr>
      <w:r w:rsidRPr="00D57B70">
        <w:rPr>
          <w:rFonts w:ascii="Times New Roman" w:hAnsi="Times New Roman" w:cs="Times New Roman"/>
          <w:sz w:val="24"/>
          <w:szCs w:val="24"/>
        </w:rPr>
        <w:t>Chamlee-Wright, E. L., &amp;amp; Storr, V. H. (2008). The entrepreneur&amp;#39;s role in post-disaster community recovery: Implications for post-disaster recovery policy. Mercatus Policy Primer, (6). Retrieved from https://papers.ssrn.com/sol3/papers.cfm?abstract_id=1350513</w:t>
      </w:r>
    </w:p>
    <w:p w:rsidR="00D27186" w:rsidRPr="00D57B70" w:rsidRDefault="00D27186" w:rsidP="00D57B70">
      <w:pPr>
        <w:spacing w:line="480" w:lineRule="auto"/>
        <w:ind w:left="720" w:hanging="720"/>
        <w:rPr>
          <w:rFonts w:ascii="Times New Roman" w:hAnsi="Times New Roman" w:cs="Times New Roman"/>
          <w:sz w:val="24"/>
          <w:szCs w:val="24"/>
        </w:rPr>
      </w:pPr>
      <w:r w:rsidRPr="00D57B70">
        <w:rPr>
          <w:rFonts w:ascii="Times New Roman" w:hAnsi="Times New Roman" w:cs="Times New Roman"/>
          <w:sz w:val="24"/>
          <w:szCs w:val="24"/>
        </w:rPr>
        <w:t>Fallara, P. (2004). Disaster recovery planning. IEEE potentials, 23(5), 42-44. Retrieved from https://ieeexplore.ieee.org/abstract/document/1301248</w:t>
      </w:r>
    </w:p>
    <w:p w:rsidR="00D27186" w:rsidRPr="00D57B70" w:rsidRDefault="00D27186" w:rsidP="00D57B70">
      <w:pPr>
        <w:spacing w:line="480" w:lineRule="auto"/>
        <w:ind w:left="720" w:hanging="720"/>
        <w:rPr>
          <w:rFonts w:ascii="Times New Roman" w:hAnsi="Times New Roman" w:cs="Times New Roman"/>
          <w:sz w:val="24"/>
          <w:szCs w:val="24"/>
        </w:rPr>
      </w:pPr>
      <w:r w:rsidRPr="00D57B70">
        <w:rPr>
          <w:rFonts w:ascii="Times New Roman" w:hAnsi="Times New Roman" w:cs="Times New Roman"/>
          <w:sz w:val="24"/>
          <w:szCs w:val="24"/>
        </w:rPr>
        <w:t>Mitchell, J. K. (2006). The primacy of partnership: Scoping a new national disaster recovery policy. The Annals of the American Academy of Political and Social Science, 604(1), 228-255. Retrieved from https://journals.sagepub.com/doi/abs/10.1177/0002716205286044</w:t>
      </w:r>
    </w:p>
    <w:p w:rsidR="00D27186" w:rsidRPr="00D57B70" w:rsidRDefault="00D27186" w:rsidP="00D57B70">
      <w:pPr>
        <w:spacing w:line="480" w:lineRule="auto"/>
        <w:ind w:left="720" w:hanging="720"/>
        <w:rPr>
          <w:rFonts w:ascii="Times New Roman" w:hAnsi="Times New Roman" w:cs="Times New Roman"/>
          <w:sz w:val="24"/>
          <w:szCs w:val="24"/>
        </w:rPr>
      </w:pPr>
      <w:r w:rsidRPr="00D57B70">
        <w:rPr>
          <w:rFonts w:ascii="Times New Roman" w:hAnsi="Times New Roman" w:cs="Times New Roman"/>
          <w:sz w:val="24"/>
          <w:szCs w:val="24"/>
        </w:rPr>
        <w:t>Pyles, L. (2009). Neoliberalism, INGO practices, and sustainable disaster recovery: A post-Katrina case study. Community Development Journal, 46(2), 168-180. Retrieved from https://academic.oup.com/cdj/article-abstract/46/2/168/293405</w:t>
      </w:r>
    </w:p>
    <w:p w:rsidR="00D27186" w:rsidRPr="00D57B70" w:rsidRDefault="00D27186" w:rsidP="00D57B70">
      <w:pPr>
        <w:spacing w:line="480" w:lineRule="auto"/>
        <w:ind w:left="720" w:hanging="720"/>
        <w:rPr>
          <w:rFonts w:ascii="Times New Roman" w:hAnsi="Times New Roman" w:cs="Times New Roman"/>
          <w:sz w:val="24"/>
          <w:szCs w:val="24"/>
        </w:rPr>
      </w:pPr>
      <w:r w:rsidRPr="00D57B70">
        <w:rPr>
          <w:rFonts w:ascii="Times New Roman" w:hAnsi="Times New Roman" w:cs="Times New Roman"/>
          <w:sz w:val="24"/>
          <w:szCs w:val="24"/>
        </w:rPr>
        <w:t>Raju, E., &amp;amp; Van Niekerk, D. (2013). Intra-governmental coordination for sustainable disaster recovery: A case study of the Eden District Municipality, South Africa. International Journal of Disaster Risk Reduction, 4, 92-99. Retrieved from https://www.sciencedirect.com/science/article/pii/S2212420913000162</w:t>
      </w:r>
    </w:p>
    <w:p w:rsidR="00D27186" w:rsidRPr="00D57B70" w:rsidRDefault="00D27186" w:rsidP="00D57B70">
      <w:pPr>
        <w:spacing w:line="480" w:lineRule="auto"/>
        <w:ind w:left="720" w:hanging="720"/>
        <w:rPr>
          <w:rFonts w:ascii="Times New Roman" w:hAnsi="Times New Roman" w:cs="Times New Roman"/>
          <w:sz w:val="24"/>
          <w:szCs w:val="24"/>
        </w:rPr>
      </w:pPr>
      <w:r w:rsidRPr="00D57B70">
        <w:rPr>
          <w:rFonts w:ascii="Times New Roman" w:hAnsi="Times New Roman" w:cs="Times New Roman"/>
          <w:sz w:val="24"/>
          <w:szCs w:val="24"/>
        </w:rPr>
        <w:lastRenderedPageBreak/>
        <w:t>Sahebjamnia, N., Torabi, S. A., &amp;amp; Mansouri, S. A. (2015). Integrated business continuity and disaster recovery planning: Towards organizational resilience. European Journal of Operational Research, 242(1), 261-273. Retrieved from https://www.sciencedirect.com/science/article/abs/pii/S0377221714007942</w:t>
      </w:r>
    </w:p>
    <w:p w:rsidR="00D27186" w:rsidRPr="00D57B70" w:rsidRDefault="00D27186" w:rsidP="00D57B70">
      <w:pPr>
        <w:spacing w:line="480" w:lineRule="auto"/>
        <w:ind w:left="720" w:hanging="720"/>
        <w:rPr>
          <w:rFonts w:ascii="Times New Roman" w:hAnsi="Times New Roman" w:cs="Times New Roman"/>
          <w:sz w:val="24"/>
          <w:szCs w:val="24"/>
        </w:rPr>
      </w:pPr>
      <w:r w:rsidRPr="00D57B70">
        <w:rPr>
          <w:rFonts w:ascii="Times New Roman" w:hAnsi="Times New Roman" w:cs="Times New Roman"/>
          <w:sz w:val="24"/>
          <w:szCs w:val="24"/>
        </w:rPr>
        <w:t>Smith, G. P., &amp;amp; Wenger, D. (2007). Sustainable disaster recovery: Operationalizing a current agenda. In Handbook of disaster research (pp. 234-257). Springer, New York, NY.</w:t>
      </w:r>
    </w:p>
    <w:p w:rsidR="0055680E" w:rsidRPr="00D57B70" w:rsidRDefault="00D27186" w:rsidP="00D57B70">
      <w:pPr>
        <w:spacing w:line="480" w:lineRule="auto"/>
        <w:ind w:left="720" w:hanging="720"/>
        <w:rPr>
          <w:rFonts w:ascii="Times New Roman" w:hAnsi="Times New Roman" w:cs="Times New Roman"/>
          <w:sz w:val="24"/>
          <w:szCs w:val="24"/>
        </w:rPr>
      </w:pPr>
      <w:r w:rsidRPr="00D57B70">
        <w:rPr>
          <w:rFonts w:ascii="Times New Roman" w:hAnsi="Times New Roman" w:cs="Times New Roman"/>
          <w:sz w:val="24"/>
          <w:szCs w:val="24"/>
        </w:rPr>
        <w:t>Wold, G. H. (2006). Disaster recovery planning process. Disaster Recovery Journal, 5(1), 10-15. Retrieved from file:///C:/Users/Admin/Downloads/disater%20recovery%20Part%20I%20of %20III.pdf</w:t>
      </w:r>
    </w:p>
    <w:sectPr w:rsidR="0055680E" w:rsidRPr="00D57B70" w:rsidSect="0018742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2B35" w:rsidRDefault="00042B35" w:rsidP="00133484">
      <w:pPr>
        <w:spacing w:after="0" w:line="240" w:lineRule="auto"/>
      </w:pPr>
      <w:r>
        <w:separator/>
      </w:r>
    </w:p>
  </w:endnote>
  <w:endnote w:type="continuationSeparator" w:id="1">
    <w:p w:rsidR="00042B35" w:rsidRDefault="00042B35" w:rsidP="001334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Mincho"/>
    <w:charset w:val="4E"/>
    <w:family w:val="auto"/>
    <w:pitch w:val="variable"/>
    <w:sig w:usb0="00000000"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ＭＳ 明朝">
    <w:charset w:val="4E"/>
    <w:family w:val="auto"/>
    <w:pitch w:val="variable"/>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2B35" w:rsidRDefault="00042B35" w:rsidP="00133484">
      <w:pPr>
        <w:spacing w:after="0" w:line="240" w:lineRule="auto"/>
      </w:pPr>
      <w:r>
        <w:separator/>
      </w:r>
    </w:p>
  </w:footnote>
  <w:footnote w:type="continuationSeparator" w:id="1">
    <w:p w:rsidR="00042B35" w:rsidRDefault="00042B35" w:rsidP="001334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B70" w:rsidRPr="00D57B70" w:rsidRDefault="00D57B70">
    <w:pPr>
      <w:pStyle w:val="Header"/>
      <w:jc w:val="right"/>
      <w:rPr>
        <w:rFonts w:ascii="Times New Roman" w:hAnsi="Times New Roman" w:cs="Times New Roman"/>
        <w:sz w:val="24"/>
      </w:rPr>
    </w:pPr>
    <w:r w:rsidRPr="00D57B70">
      <w:rPr>
        <w:rFonts w:ascii="Times New Roman" w:hAnsi="Times New Roman" w:cs="Times New Roman"/>
        <w:sz w:val="24"/>
      </w:rPr>
      <w:t>DISASTER RECOVERY POLICY</w:t>
    </w:r>
    <w:r w:rsidRPr="00D57B70">
      <w:rPr>
        <w:rFonts w:ascii="Times New Roman" w:hAnsi="Times New Roman" w:cs="Times New Roman"/>
        <w:sz w:val="24"/>
      </w:rPr>
      <w:tab/>
    </w:r>
    <w:r w:rsidRPr="00D57B70">
      <w:rPr>
        <w:rFonts w:ascii="Times New Roman" w:hAnsi="Times New Roman" w:cs="Times New Roman"/>
        <w:sz w:val="24"/>
      </w:rPr>
      <w:tab/>
    </w:r>
    <w:sdt>
      <w:sdtPr>
        <w:rPr>
          <w:rFonts w:ascii="Times New Roman" w:hAnsi="Times New Roman" w:cs="Times New Roman"/>
          <w:sz w:val="24"/>
        </w:rPr>
        <w:id w:val="154399213"/>
        <w:docPartObj>
          <w:docPartGallery w:val="Page Numbers (Top of Page)"/>
          <w:docPartUnique/>
        </w:docPartObj>
      </w:sdtPr>
      <w:sdtContent>
        <w:r w:rsidRPr="00D57B70">
          <w:rPr>
            <w:rFonts w:ascii="Times New Roman" w:hAnsi="Times New Roman" w:cs="Times New Roman"/>
            <w:sz w:val="24"/>
          </w:rPr>
          <w:fldChar w:fldCharType="begin"/>
        </w:r>
        <w:r w:rsidRPr="00D57B70">
          <w:rPr>
            <w:rFonts w:ascii="Times New Roman" w:hAnsi="Times New Roman" w:cs="Times New Roman"/>
            <w:sz w:val="24"/>
          </w:rPr>
          <w:instrText xml:space="preserve"> PAGE   \* MERGEFORMAT </w:instrText>
        </w:r>
        <w:r w:rsidRPr="00D57B70">
          <w:rPr>
            <w:rFonts w:ascii="Times New Roman" w:hAnsi="Times New Roman" w:cs="Times New Roman"/>
            <w:sz w:val="24"/>
          </w:rPr>
          <w:fldChar w:fldCharType="separate"/>
        </w:r>
        <w:r>
          <w:rPr>
            <w:rFonts w:ascii="Times New Roman" w:hAnsi="Times New Roman" w:cs="Times New Roman"/>
            <w:noProof/>
            <w:sz w:val="24"/>
          </w:rPr>
          <w:t>17</w:t>
        </w:r>
        <w:r w:rsidRPr="00D57B70">
          <w:rPr>
            <w:rFonts w:ascii="Times New Roman" w:hAnsi="Times New Roman" w:cs="Times New Roman"/>
            <w:sz w:val="24"/>
          </w:rPr>
          <w:fldChar w:fldCharType="end"/>
        </w:r>
      </w:sdtContent>
    </w:sdt>
  </w:p>
  <w:p w:rsidR="00D57B70" w:rsidRPr="00D57B70" w:rsidRDefault="00D57B70">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B70" w:rsidRPr="00D57B70" w:rsidRDefault="00D57B70">
    <w:pPr>
      <w:pStyle w:val="Header"/>
      <w:jc w:val="right"/>
      <w:rPr>
        <w:rFonts w:ascii="Times New Roman" w:hAnsi="Times New Roman" w:cs="Times New Roman"/>
        <w:sz w:val="24"/>
      </w:rPr>
    </w:pPr>
    <w:r w:rsidRPr="00D57B70">
      <w:rPr>
        <w:rFonts w:ascii="Times New Roman" w:hAnsi="Times New Roman" w:cs="Times New Roman"/>
        <w:sz w:val="24"/>
      </w:rPr>
      <w:t xml:space="preserve">Running Head: DISASTER RECOVERY POLICY </w:t>
    </w:r>
    <w:r w:rsidRPr="00D57B70">
      <w:rPr>
        <w:rFonts w:ascii="Times New Roman" w:hAnsi="Times New Roman" w:cs="Times New Roman"/>
        <w:sz w:val="24"/>
      </w:rPr>
      <w:tab/>
    </w:r>
    <w:sdt>
      <w:sdtPr>
        <w:rPr>
          <w:rFonts w:ascii="Times New Roman" w:hAnsi="Times New Roman" w:cs="Times New Roman"/>
          <w:sz w:val="24"/>
        </w:rPr>
        <w:id w:val="154399239"/>
        <w:docPartObj>
          <w:docPartGallery w:val="Page Numbers (Top of Page)"/>
          <w:docPartUnique/>
        </w:docPartObj>
      </w:sdtPr>
      <w:sdtContent>
        <w:r w:rsidRPr="00D57B70">
          <w:rPr>
            <w:rFonts w:ascii="Times New Roman" w:hAnsi="Times New Roman" w:cs="Times New Roman"/>
            <w:sz w:val="24"/>
          </w:rPr>
          <w:fldChar w:fldCharType="begin"/>
        </w:r>
        <w:r w:rsidRPr="00D57B70">
          <w:rPr>
            <w:rFonts w:ascii="Times New Roman" w:hAnsi="Times New Roman" w:cs="Times New Roman"/>
            <w:sz w:val="24"/>
          </w:rPr>
          <w:instrText xml:space="preserve"> PAGE   \* MERGEFORMAT </w:instrText>
        </w:r>
        <w:r w:rsidRPr="00D57B70">
          <w:rPr>
            <w:rFonts w:ascii="Times New Roman" w:hAnsi="Times New Roman" w:cs="Times New Roman"/>
            <w:sz w:val="24"/>
          </w:rPr>
          <w:fldChar w:fldCharType="separate"/>
        </w:r>
        <w:r>
          <w:rPr>
            <w:rFonts w:ascii="Times New Roman" w:hAnsi="Times New Roman" w:cs="Times New Roman"/>
            <w:noProof/>
            <w:sz w:val="24"/>
          </w:rPr>
          <w:t>1</w:t>
        </w:r>
        <w:r w:rsidRPr="00D57B70">
          <w:rPr>
            <w:rFonts w:ascii="Times New Roman" w:hAnsi="Times New Roman" w:cs="Times New Roman"/>
            <w:sz w:val="24"/>
          </w:rPr>
          <w:fldChar w:fldCharType="end"/>
        </w:r>
      </w:sdtContent>
    </w:sdt>
  </w:p>
  <w:p w:rsidR="00D57B70" w:rsidRPr="00D57B70" w:rsidRDefault="00D57B70">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36BCF"/>
    <w:multiLevelType w:val="hybridMultilevel"/>
    <w:tmpl w:val="689CB18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8453B7"/>
    <w:multiLevelType w:val="hybridMultilevel"/>
    <w:tmpl w:val="C5B0652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47838E4"/>
    <w:multiLevelType w:val="hybridMultilevel"/>
    <w:tmpl w:val="7AFEE9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azMLC0NLW0NDA2MDBQ0lEKTi0uzszPAykwrAUA1BlUVCwAAAA="/>
  </w:docVars>
  <w:rsids>
    <w:rsidRoot w:val="0018742E"/>
    <w:rsid w:val="00010007"/>
    <w:rsid w:val="00034804"/>
    <w:rsid w:val="00042B35"/>
    <w:rsid w:val="00053CD0"/>
    <w:rsid w:val="0009731D"/>
    <w:rsid w:val="000C0464"/>
    <w:rsid w:val="000C0ADE"/>
    <w:rsid w:val="000F3BA8"/>
    <w:rsid w:val="00111DE6"/>
    <w:rsid w:val="00112281"/>
    <w:rsid w:val="00133484"/>
    <w:rsid w:val="0018742E"/>
    <w:rsid w:val="00190EA8"/>
    <w:rsid w:val="00194D27"/>
    <w:rsid w:val="001B6F47"/>
    <w:rsid w:val="00211AA3"/>
    <w:rsid w:val="00261B7A"/>
    <w:rsid w:val="002B38AF"/>
    <w:rsid w:val="003113EB"/>
    <w:rsid w:val="00350B22"/>
    <w:rsid w:val="003C6C41"/>
    <w:rsid w:val="003E5921"/>
    <w:rsid w:val="003E744E"/>
    <w:rsid w:val="0043141B"/>
    <w:rsid w:val="00431663"/>
    <w:rsid w:val="0045403F"/>
    <w:rsid w:val="0045658A"/>
    <w:rsid w:val="00465C0D"/>
    <w:rsid w:val="00480B8E"/>
    <w:rsid w:val="004E43A7"/>
    <w:rsid w:val="0050147F"/>
    <w:rsid w:val="00506950"/>
    <w:rsid w:val="005429FA"/>
    <w:rsid w:val="0055680E"/>
    <w:rsid w:val="00573C6B"/>
    <w:rsid w:val="005B151C"/>
    <w:rsid w:val="005B18EC"/>
    <w:rsid w:val="00634CD4"/>
    <w:rsid w:val="007017C1"/>
    <w:rsid w:val="00725FAC"/>
    <w:rsid w:val="00757C6D"/>
    <w:rsid w:val="007C0E85"/>
    <w:rsid w:val="007F2D6F"/>
    <w:rsid w:val="007F4122"/>
    <w:rsid w:val="00833BF0"/>
    <w:rsid w:val="00846B90"/>
    <w:rsid w:val="008537AB"/>
    <w:rsid w:val="00860D84"/>
    <w:rsid w:val="00867A61"/>
    <w:rsid w:val="00882629"/>
    <w:rsid w:val="008E2849"/>
    <w:rsid w:val="009114A3"/>
    <w:rsid w:val="009A7EA7"/>
    <w:rsid w:val="009E23E0"/>
    <w:rsid w:val="009F49A1"/>
    <w:rsid w:val="00A051E3"/>
    <w:rsid w:val="00A22E58"/>
    <w:rsid w:val="00A31663"/>
    <w:rsid w:val="00A72909"/>
    <w:rsid w:val="00A72A43"/>
    <w:rsid w:val="00AB5498"/>
    <w:rsid w:val="00AF25FF"/>
    <w:rsid w:val="00B33DF6"/>
    <w:rsid w:val="00B55284"/>
    <w:rsid w:val="00B76555"/>
    <w:rsid w:val="00B96D8F"/>
    <w:rsid w:val="00BB64F3"/>
    <w:rsid w:val="00BC233B"/>
    <w:rsid w:val="00C3195D"/>
    <w:rsid w:val="00C5568A"/>
    <w:rsid w:val="00C638F3"/>
    <w:rsid w:val="00C746A5"/>
    <w:rsid w:val="00CB7724"/>
    <w:rsid w:val="00D27186"/>
    <w:rsid w:val="00D27A85"/>
    <w:rsid w:val="00D3479B"/>
    <w:rsid w:val="00D57B70"/>
    <w:rsid w:val="00D83240"/>
    <w:rsid w:val="00DB2DE7"/>
    <w:rsid w:val="00DD337C"/>
    <w:rsid w:val="00E350EB"/>
    <w:rsid w:val="00E53B1B"/>
    <w:rsid w:val="00E73065"/>
    <w:rsid w:val="00E83E27"/>
    <w:rsid w:val="00EF02AD"/>
    <w:rsid w:val="00F333B8"/>
    <w:rsid w:val="00F43BCD"/>
    <w:rsid w:val="00F46DB2"/>
    <w:rsid w:val="00F63D35"/>
    <w:rsid w:val="00F76429"/>
    <w:rsid w:val="00F8462C"/>
    <w:rsid w:val="00FB3A25"/>
    <w:rsid w:val="00FD5122"/>
    <w:rsid w:val="00FE0A33"/>
    <w:rsid w:val="00FE7EFD"/>
    <w:rsid w:val="00FF78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31D"/>
  </w:style>
  <w:style w:type="paragraph" w:styleId="Heading1">
    <w:name w:val="heading 1"/>
    <w:basedOn w:val="Normal"/>
    <w:next w:val="Normal"/>
    <w:link w:val="Heading1Char"/>
    <w:uiPriority w:val="9"/>
    <w:qFormat/>
    <w:rsid w:val="00D27A8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2E"/>
  </w:style>
  <w:style w:type="paragraph" w:styleId="Footer">
    <w:name w:val="footer"/>
    <w:basedOn w:val="Normal"/>
    <w:link w:val="FooterChar"/>
    <w:uiPriority w:val="99"/>
    <w:semiHidden/>
    <w:unhideWhenUsed/>
    <w:rsid w:val="001874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742E"/>
  </w:style>
  <w:style w:type="paragraph" w:styleId="BalloonText">
    <w:name w:val="Balloon Text"/>
    <w:basedOn w:val="Normal"/>
    <w:link w:val="BalloonTextChar"/>
    <w:uiPriority w:val="99"/>
    <w:semiHidden/>
    <w:unhideWhenUsed/>
    <w:rsid w:val="00FE0A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0A33"/>
    <w:rPr>
      <w:rFonts w:ascii="Tahoma" w:hAnsi="Tahoma" w:cs="Tahoma"/>
      <w:sz w:val="16"/>
      <w:szCs w:val="16"/>
    </w:rPr>
  </w:style>
  <w:style w:type="character" w:customStyle="1" w:styleId="Heading1Char">
    <w:name w:val="Heading 1 Char"/>
    <w:basedOn w:val="DefaultParagraphFont"/>
    <w:link w:val="Heading1"/>
    <w:uiPriority w:val="9"/>
    <w:rsid w:val="00D27A8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27A85"/>
  </w:style>
  <w:style w:type="paragraph" w:styleId="ListParagraph">
    <w:name w:val="List Paragraph"/>
    <w:basedOn w:val="Normal"/>
    <w:uiPriority w:val="34"/>
    <w:qFormat/>
    <w:rsid w:val="00860D84"/>
    <w:pPr>
      <w:ind w:left="720"/>
      <w:contextualSpacing/>
    </w:pPr>
  </w:style>
  <w:style w:type="character" w:styleId="Hyperlink">
    <w:name w:val="Hyperlink"/>
    <w:basedOn w:val="DefaultParagraphFont"/>
    <w:uiPriority w:val="99"/>
    <w:unhideWhenUsed/>
    <w:rsid w:val="0055680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3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2E"/>
  </w:style>
  <w:style w:type="paragraph" w:styleId="Footer">
    <w:name w:val="footer"/>
    <w:basedOn w:val="Normal"/>
    <w:link w:val="FooterChar"/>
    <w:uiPriority w:val="99"/>
    <w:semiHidden/>
    <w:unhideWhenUsed/>
    <w:rsid w:val="001874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742E"/>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Cha08</b:Tag>
    <b:SourceType>JournalArticle</b:SourceType>
    <b:Guid>{5BBE06CC-3D79-4503-B268-94265478CDA7}</b:Guid>
    <b:LCID>0</b:LCID>
    <b:Author>
      <b:Author>
        <b:NameList>
          <b:Person>
            <b:Last>Chamlee-Wright</b:Last>
            <b:First>Emily</b:First>
            <b:Middle>L</b:Middle>
          </b:Person>
          <b:Person>
            <b:Last>Storr</b:Last>
            <b:First>Virgil</b:First>
            <b:Middle>Henry</b:Middle>
          </b:Person>
        </b:NameList>
      </b:Author>
    </b:Author>
    <b:Title>The entrepreneur's role in post-disaster community recovery: Implications for post-disaster recovery policy</b:Title>
    <b:Year>2008</b:Year>
    <b:JournalName>Mercatus Policy Primer</b:JournalName>
    <b:Volume>6</b:Volume>
    <b:ShortTitle>http://dx.doi.org/10.2139/ssrn.1350513</b:ShortTitle>
    <b:StandardNumber>https://ssrn.com/abstract=1350513</b:StandardNumber>
    <b:RefOrder>1</b:RefOrder>
  </b:Source>
  <b:Source>
    <b:Tag>Mit06</b:Tag>
    <b:SourceType>JournalArticle</b:SourceType>
    <b:Guid>{296F9449-6A49-45EF-9A42-C9DFC06F7E65}</b:Guid>
    <b:LCID>0</b:LCID>
    <b:Author>
      <b:Author>
        <b:NameList>
          <b:Person>
            <b:Last>Mitchell</b:Last>
            <b:First>James</b:First>
            <b:Middle>K.</b:Middle>
          </b:Person>
        </b:NameList>
      </b:Author>
    </b:Author>
    <b:Title>The primacy of partnership: Scoping a new national disaster recovery policy</b:Title>
    <b:JournalName>The Annals of the American Academy of Political and Social Science</b:JournalName>
    <b:Year>2006</b:Year>
    <b:Pages>228-255</b:Pages>
    <b:Volume>604</b:Volume>
    <b:Issue>1</b:Issue>
    <b:RefOrder>2</b:RefOrder>
  </b:Source>
  <b:Source>
    <b:Tag>Smi07</b:Tag>
    <b:SourceType>BookSection</b:SourceType>
    <b:Guid>{415C5359-3DF4-48EF-9A70-FC3CC75AC13A}</b:Guid>
    <b:LCID>0</b:LCID>
    <b:Author>
      <b:Author>
        <b:NameList>
          <b:Person>
            <b:Last>Smith</b:Last>
            <b:First>Gavin</b:First>
            <b:Middle>P</b:Middle>
          </b:Person>
          <b:Person>
            <b:Last>Wenger</b:Last>
            <b:First>Dennis</b:First>
          </b:Person>
        </b:NameList>
      </b:Author>
      <b:BookAuthor>
        <b:NameList>
          <b:Person>
            <b:Last>Andersson</b:Last>
            <b:First>William</b:First>
            <b:Middle>A</b:Middle>
          </b:Person>
          <b:Person>
            <b:Last>Kennedy</b:Last>
            <b:First>Patrick</b:First>
            <b:Middle>A</b:Middle>
          </b:Person>
          <b:Person>
            <b:Last>Resslet</b:Last>
            <b:First>Everett</b:First>
          </b:Person>
          <b:Person>
            <b:Last>Smith</b:Last>
            <b:First>Gavin</b:First>
            <b:Middle>P</b:Middle>
          </b:Person>
          <b:Person>
            <b:Last>Wenger</b:Last>
            <b:First>Dennis</b:First>
          </b:Person>
        </b:NameList>
      </b:BookAuthor>
    </b:Author>
    <b:Title>Sustainable disaster recovery: Operationalizing an existing agenda</b:Title>
    <b:Year>2007</b:Year>
    <b:Pages>234-257</b:Pages>
    <b:City>NewYork, NY</b:City>
    <b:Publisher>Springer</b:Publisher>
    <b:BookTitle>Handbook of disaster research</b:BookTitle>
    <b:RefOrder>3</b:RefOrder>
  </b:Source>
  <b:Source>
    <b:Tag>Fal04</b:Tag>
    <b:SourceType>JournalArticle</b:SourceType>
    <b:Guid>{405EA432-C753-4981-BAFE-C243E3E99077}</b:Guid>
    <b:LCID>0</b:LCID>
    <b:Author>
      <b:Author>
        <b:NameList>
          <b:Person>
            <b:Last>Fallara</b:Last>
            <b:First>Peter</b:First>
          </b:Person>
        </b:NameList>
      </b:Author>
    </b:Author>
    <b:Title>Disaster Recovery Planning</b:Title>
    <b:Year>2004</b:Year>
    <b:JournalName>IEEE Potentials</b:JournalName>
    <b:Volume>23</b:Volume>
    <b:Issue>5</b:Issue>
    <b:RefOrder>4</b:RefOrder>
  </b:Source>
  <b:Source>
    <b:Tag>Pyl11</b:Tag>
    <b:SourceType>JournalArticle</b:SourceType>
    <b:Guid>{63971671-A631-471B-B2A4-91307A4499AF}</b:Guid>
    <b:LCID>0</b:LCID>
    <b:Author>
      <b:Author>
        <b:NameList>
          <b:Person>
            <b:Last>Pyles</b:Last>
            <b:First>Loretta</b:First>
          </b:Person>
        </b:NameList>
      </b:Author>
    </b:Author>
    <b:Title>Neoliberalism, INGO practices and sustainable disaster recovery: a post-Katrina case study</b:Title>
    <b:JournalName>Community Development Journal</b:JournalName>
    <b:Year>2011</b:Year>
    <b:Pages>168-180</b:Pages>
    <b:Volume>46</b:Volume>
    <b:Issue>2</b:Issue>
    <b:RefOrder>5</b:RefOrder>
  </b:Source>
  <b:Source>
    <b:Tag>Sah15</b:Tag>
    <b:SourceType>JournalArticle</b:SourceType>
    <b:Guid>{7059F58F-42FB-4ED6-BBBF-864394578D89}</b:Guid>
    <b:LCID>0</b:LCID>
    <b:Author>
      <b:Author>
        <b:NameList>
          <b:Person>
            <b:Last>Sahebjamnia</b:Last>
            <b:First>Navid</b:First>
          </b:Person>
          <b:Person>
            <b:Last>Torabi</b:Last>
            <b:First>S</b:First>
            <b:Middle>Ali</b:Middle>
          </b:Person>
          <b:Person>
            <b:Last>Mansouri</b:Last>
            <b:First>S</b:First>
            <b:Middle>Afshin</b:Middle>
          </b:Person>
        </b:NameList>
      </b:Author>
    </b:Author>
    <b:Title>Integrated business continuity and disaster recovery planning: Towards organizational resilience</b:Title>
    <b:JournalName>European Journal of Operational Research</b:JournalName>
    <b:Year>2015</b:Year>
    <b:Pages>261-273</b:Pages>
    <b:Volume>242</b:Volume>
    <b:Issue>1</b:Issue>
    <b:RefOrder>6</b:RefOrder>
  </b:Source>
  <b:Source>
    <b:Tag>Raj13</b:Tag>
    <b:SourceType>JournalArticle</b:SourceType>
    <b:Guid>{7432DA12-12F0-49FC-B642-1D4607E1481B}</b:Guid>
    <b:LCID>0</b:LCID>
    <b:Author>
      <b:Author>
        <b:NameList>
          <b:Person>
            <b:Last>Raju</b:Last>
            <b:First>Emmanuel</b:First>
          </b:Person>
          <b:Person>
            <b:Last>Van Niekerk</b:Last>
            <b:First>Dewald</b:First>
          </b:Person>
        </b:NameList>
      </b:Author>
    </b:Author>
    <b:Title>Intra-governmental coordination for sustainable disaster recovery: A case-study of the Eden District Municipality, South Africa</b:Title>
    <b:JournalName>International Journal of Disaster Risk Reduction</b:JournalName>
    <b:Year>2013</b:Year>
    <b:Pages>92-99</b:Pages>
    <b:Volume>4</b:Volume>
    <b:RefOrder>8</b:RefOrder>
  </b:Source>
  <b:Source>
    <b:Tag>Wol06</b:Tag>
    <b:SourceType>JournalArticle</b:SourceType>
    <b:Guid>{82EEE9CD-3483-42BD-B1FA-CA9137467631}</b:Guid>
    <b:LCID>0</b:LCID>
    <b:Author>
      <b:Author>
        <b:NameList>
          <b:Person>
            <b:Last>Wold</b:Last>
            <b:First>Geoffrey</b:First>
            <b:Middle>H</b:Middle>
          </b:Person>
        </b:NameList>
      </b:Author>
    </b:Author>
    <b:Title>Disaster recovery planning process</b:Title>
    <b:JournalName>Disaster Recovery Journal</b:JournalName>
    <b:Year>2006</b:Year>
    <b:Pages>10-15</b:Pages>
    <b:Volume>5</b:Volume>
    <b:Issue>1</b:Issue>
    <b:RefOrder>9</b:RefOrder>
  </b:Source>
  <b:Source>
    <b:Tag>Ber15</b:Tag>
    <b:SourceType>JournalArticle</b:SourceType>
    <b:Guid>{7696DBF9-F1BF-42DC-A4A7-9684BE09BBA0}</b:Guid>
    <b:LCID>0</b:LCID>
    <b:Author>
      <b:Author>
        <b:NameList>
          <b:Person>
            <b:Last>Berke</b:Last>
            <b:First>Philip</b:First>
          </b:Person>
          <b:Person>
            <b:Last>Cooper</b:Last>
            <b:First>John</b:First>
          </b:Person>
          <b:Person>
            <b:Last>Aminto</b:Last>
            <b:First>Meghan</b:First>
          </b:Person>
          <b:Person>
            <b:Last>Grabich</b:Last>
            <b:First>Shannon</b:First>
          </b:Person>
          <b:Person>
            <b:Last>Horney</b:Last>
            <b:First>jennifer</b:First>
          </b:Person>
        </b:NameList>
      </b:Author>
    </b:Author>
    <b:Title>Adaptive Planning for Disaster Recovery and Resiliency: An Evaluation of 87 Local Recovery Plans in Eight States</b:Title>
    <b:JournalName>Journal of the American Planning Association</b:JournalName>
    <b:Year>2015</b:Year>
    <b:Pages>310-323</b:Pages>
    <b:Volume>80</b:Volume>
    <b:Issue>4: Planning for Disaster Recovery</b:Issue>
    <b:RefOrder>7</b:RefOrder>
  </b:Source>
</b:Sources>
</file>

<file path=customXml/itemProps1.xml><?xml version="1.0" encoding="utf-8"?>
<ds:datastoreItem xmlns:ds="http://schemas.openxmlformats.org/officeDocument/2006/customXml" ds:itemID="{1B547E6A-60F6-4A66-8ABA-138BAE995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1400</TotalTime>
  <Pages>18</Pages>
  <Words>4647</Words>
  <Characters>26490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Murph</Company>
  <LinksUpToDate>false</LinksUpToDate>
  <CharactersWithSpaces>31075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32</cp:revision>
  <dcterms:created xsi:type="dcterms:W3CDTF">2019-11-29T13:24:00Z</dcterms:created>
  <dcterms:modified xsi:type="dcterms:W3CDTF">2019-11-30T12:39:00Z</dcterms:modified>
</cp:coreProperties>
</file>